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 внесении изменений в решение Думы Шалинского городского округа от 22.12.2022 №154 «Об утверждении Положения о порядке и условиях приватизации муниципального имущества Шалинского городского округа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02/08/05-25/00015304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"http://regulation.midural.ru/projects#npa=15304"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http://regulation.midural.ru/projects#npa=15304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20.05.2025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18.06.2025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26.06.2025 в 12:52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